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10DF5" w:rsidRDefault="00210DF5" w:rsidP="00245145">
      <w:pPr>
        <w:widowControl w:val="0"/>
        <w:tabs>
          <w:tab w:val="left" w:pos="6237"/>
        </w:tabs>
        <w:autoSpaceDE w:val="0"/>
        <w:autoSpaceDN w:val="0"/>
        <w:adjustRightInd w:val="0"/>
        <w:spacing w:before="2" w:after="2"/>
        <w:ind w:right="-1332"/>
        <w:rPr>
          <w:rFonts w:cs="Times New Roman"/>
          <w:b/>
          <w:bCs/>
          <w:smallCaps w:val="0"/>
          <w:color w:val="auto"/>
          <w:sz w:val="36"/>
          <w:szCs w:val="36"/>
          <w:u w:val="none"/>
        </w:rPr>
      </w:pPr>
      <w:r>
        <w:rPr>
          <w:rFonts w:cs="Times New Roman"/>
          <w:b/>
          <w:bCs/>
          <w:smallCaps w:val="0"/>
          <w:sz w:val="36"/>
          <w:szCs w:val="36"/>
          <w:u w:val="none"/>
        </w:rPr>
        <w:t>SUMBA</w:t>
      </w: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b/>
          <w:bCs/>
          <w:smallCaps w:val="0"/>
          <w:color w:val="auto"/>
          <w:sz w:val="36"/>
          <w:szCs w:val="36"/>
          <w:u w:val="none"/>
        </w:rPr>
      </w:pP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b/>
          <w:bCs/>
          <w:smallCaps w:val="0"/>
          <w:color w:val="auto"/>
          <w:sz w:val="36"/>
          <w:szCs w:val="36"/>
          <w:u w:val="none"/>
        </w:rPr>
      </w:pPr>
      <w:r>
        <w:rPr>
          <w:rFonts w:cs="Times New Roman"/>
          <w:b/>
          <w:bCs/>
          <w:smallCaps w:val="0"/>
          <w:color w:val="auto"/>
          <w:sz w:val="36"/>
          <w:szCs w:val="36"/>
          <w:u w:val="none"/>
        </w:rPr>
        <w:t>ORIGINI</w:t>
      </w: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color w:val="auto"/>
          <w:sz w:val="28"/>
          <w:szCs w:val="28"/>
          <w:u w:val="none"/>
        </w:rPr>
      </w:pP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color w:val="auto"/>
          <w:sz w:val="28"/>
          <w:szCs w:val="28"/>
          <w:u w:val="none"/>
        </w:rPr>
      </w:pPr>
      <w:r>
        <w:rPr>
          <w:rFonts w:cs="Times New Roman"/>
          <w:smallCaps w:val="0"/>
          <w:color w:val="auto"/>
          <w:sz w:val="28"/>
          <w:szCs w:val="28"/>
          <w:u w:val="none"/>
        </w:rPr>
        <w:t>Sumba è un'</w:t>
      </w:r>
      <w:hyperlink r:id="rId4" w:history="1">
        <w:r>
          <w:rPr>
            <w:rFonts w:cs="Times New Roman"/>
            <w:smallCaps w:val="0"/>
            <w:color w:val="auto"/>
            <w:sz w:val="28"/>
            <w:szCs w:val="28"/>
            <w:u w:val="none"/>
          </w:rPr>
          <w:t>isola</w:t>
        </w:r>
      </w:hyperlink>
      <w:r>
        <w:rPr>
          <w:rFonts w:cs="Times New Roman"/>
          <w:smallCaps w:val="0"/>
          <w:color w:val="auto"/>
          <w:sz w:val="28"/>
          <w:szCs w:val="28"/>
          <w:u w:val="none"/>
        </w:rPr>
        <w:t xml:space="preserve"> dell'</w:t>
      </w:r>
      <w:hyperlink r:id="rId5" w:history="1">
        <w:r>
          <w:rPr>
            <w:rFonts w:cs="Times New Roman"/>
            <w:smallCaps w:val="0"/>
            <w:color w:val="auto"/>
            <w:sz w:val="28"/>
            <w:szCs w:val="28"/>
            <w:u w:val="none"/>
          </w:rPr>
          <w:t>Indonesia</w:t>
        </w:r>
      </w:hyperlink>
      <w:r>
        <w:rPr>
          <w:rFonts w:cs="Times New Roman"/>
          <w:smallCaps w:val="0"/>
          <w:color w:val="auto"/>
          <w:sz w:val="28"/>
          <w:szCs w:val="28"/>
          <w:u w:val="none"/>
        </w:rPr>
        <w:t xml:space="preserve">, </w:t>
      </w:r>
      <w:hyperlink r:id="rId6" w:history="1">
        <w:r>
          <w:rPr>
            <w:rFonts w:cs="Times New Roman"/>
            <w:smallCaps w:val="0"/>
            <w:color w:val="auto"/>
            <w:sz w:val="28"/>
            <w:szCs w:val="28"/>
            <w:u w:val="none"/>
          </w:rPr>
          <w:t>Stato</w:t>
        </w:r>
      </w:hyperlink>
      <w:r>
        <w:rPr>
          <w:rFonts w:cs="Times New Roman"/>
          <w:smallCaps w:val="0"/>
          <w:color w:val="auto"/>
          <w:sz w:val="28"/>
          <w:szCs w:val="28"/>
          <w:u w:val="none"/>
        </w:rPr>
        <w:t xml:space="preserve"> insulare dell’Asia sud-orientale.</w:t>
      </w: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szCs w:val="32"/>
          <w:u w:color="0000FF"/>
        </w:rPr>
      </w:pPr>
      <w:r>
        <w:rPr>
          <w:rFonts w:cs="Times New Roman"/>
          <w:smallCaps w:val="0"/>
          <w:color w:val="auto"/>
          <w:sz w:val="28"/>
          <w:szCs w:val="28"/>
          <w:u w:val="none"/>
        </w:rPr>
        <w:t xml:space="preserve">La struttura e la morfologia dell’Indonesia furono dettate dall’orogenesi himalaiana che, nel Cenozoico, piegò e sollevò i sedimenti mesozoici prevalenti. La formazione tettonica dell’Indonesia è quindi recente, </w:t>
      </w:r>
      <w:proofErr w:type="gramStart"/>
      <w:r>
        <w:rPr>
          <w:rFonts w:cs="Times New Roman"/>
          <w:smallCaps w:val="0"/>
          <w:color w:val="auto"/>
          <w:sz w:val="28"/>
          <w:szCs w:val="28"/>
          <w:u w:val="none"/>
        </w:rPr>
        <w:t>malgrado</w:t>
      </w:r>
      <w:proofErr w:type="gramEnd"/>
      <w:r>
        <w:rPr>
          <w:rFonts w:cs="Times New Roman"/>
          <w:smallCaps w:val="0"/>
          <w:color w:val="auto"/>
          <w:sz w:val="28"/>
          <w:szCs w:val="28"/>
          <w:u w:val="none"/>
        </w:rPr>
        <w:t xml:space="preserve"> l’affioramento di materiali più antichi, e il grande arcipelago è una sorta di ‘ponte’ tra le due masse continentali asiatica e australiana, tuttora teatro di una vivace evoluzione, come testimoniano sismicità e vulcanismo.</w:t>
      </w: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color w:val="auto"/>
          <w:sz w:val="28"/>
          <w:szCs w:val="28"/>
          <w:u w:val="none" w:color="0000FF"/>
        </w:rPr>
      </w:pPr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L’antico</w:t>
      </w:r>
      <w:proofErr w:type="gram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 </w:t>
      </w:r>
      <w:proofErr w:type="gram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popolamento del territorio indonesiano è attestato dai resti di </w:t>
      </w: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color w:val="auto"/>
          <w:sz w:val="28"/>
          <w:szCs w:val="28"/>
          <w:u w:val="none" w:color="0000FF"/>
        </w:rPr>
      </w:pPr>
      <w:proofErr w:type="gram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Homo </w:t>
      </w:r>
      <w:proofErr w:type="spell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erectus</w:t>
      </w:r>
      <w:proofErr w:type="spell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, vissuto oltre mezzo milione di anni fa, rinvenuti a Giava</w:t>
      </w:r>
      <w:proofErr w:type="gram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. </w:t>
      </w: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color w:val="auto"/>
          <w:sz w:val="28"/>
          <w:szCs w:val="28"/>
          <w:u w:val="none" w:color="0000FF"/>
        </w:rPr>
      </w:pPr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Tra le culture megalitiche dell’Asia sud-orientale si possono differenziare due principali fasi che </w:t>
      </w:r>
      <w:r w:rsidRPr="00C21F5F"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legano </w:t>
      </w:r>
      <w:hyperlink r:id="rId7" w:history="1">
        <w:r w:rsidRPr="00C21F5F"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>il mondo</w:t>
        </w:r>
      </w:hyperlink>
      <w:r w:rsidRPr="00C21F5F"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indonesiano</w:t>
      </w:r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con il Neolitico e le età dei metalli dell’Indocina e della Cina meridionale.</w:t>
      </w: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color w:val="auto"/>
          <w:sz w:val="28"/>
          <w:szCs w:val="28"/>
          <w:u w:val="none" w:color="0000FF"/>
        </w:rPr>
      </w:pPr>
      <w:r w:rsidRPr="00C21F5F">
        <w:rPr>
          <w:rFonts w:cs="Times New Roman"/>
          <w:b/>
          <w:smallCaps w:val="0"/>
          <w:color w:val="auto"/>
          <w:sz w:val="28"/>
          <w:szCs w:val="28"/>
          <w:u w:val="none" w:color="0000FF"/>
        </w:rPr>
        <w:t>La prima</w:t>
      </w:r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(stile monumentale), iniziata probabilmente già nel tardo Neolitico </w:t>
      </w: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color w:val="auto"/>
          <w:sz w:val="28"/>
          <w:szCs w:val="28"/>
          <w:u w:val="none" w:color="0000FF"/>
        </w:rPr>
      </w:pPr>
      <w:proofErr w:type="gram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(2°</w:t>
      </w:r>
      <w:proofErr w:type="gram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millennio a.C.), presenta dolmen, menhir, sculture litiche, con scarsi motivi decorativi di tipo geometrico molto semplificato, ed è rappresentata forse dai resti di antiche figure litiche di antenati di Giava e Sumatra.</w:t>
      </w: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color w:val="auto"/>
          <w:sz w:val="28"/>
          <w:szCs w:val="28"/>
          <w:u w:val="none" w:color="0000FF"/>
        </w:rPr>
      </w:pPr>
      <w:r w:rsidRPr="00C21F5F">
        <w:rPr>
          <w:rFonts w:cs="Times New Roman"/>
          <w:b/>
          <w:smallCaps w:val="0"/>
          <w:color w:val="auto"/>
          <w:sz w:val="28"/>
          <w:szCs w:val="28"/>
          <w:u w:val="none" w:color="0000FF"/>
        </w:rPr>
        <w:t>La seconda,</w:t>
      </w:r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che si esprime in un tipo di decorazione fitta e ricca di motivi curvilinei (stile ornamentale), è in rapporto con le culture indocinesi dell’età del Bronzo </w:t>
      </w:r>
      <w:proofErr w:type="gram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di</w:t>
      </w:r>
      <w:proofErr w:type="gram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</w:t>
      </w:r>
      <w:proofErr w:type="spell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Dong-son</w:t>
      </w:r>
      <w:proofErr w:type="spell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e in alcuni casi (</w:t>
      </w:r>
      <w:proofErr w:type="spell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Borneo</w:t>
      </w:r>
      <w:proofErr w:type="spell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centrale, Flores centrale) con la produzione metallurgica della Cina dei tardi </w:t>
      </w:r>
      <w:proofErr w:type="spell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Chou</w:t>
      </w:r>
      <w:proofErr w:type="spell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. Introdotto in Indonesia. prima degli inizi della nostra era insieme all’oreficeria, alla tessitura (</w:t>
      </w:r>
      <w:proofErr w:type="spell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ikat</w:t>
      </w:r>
      <w:proofErr w:type="spell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), a nuovi tipi di abitazione (con copertura a sella e a forma di barca), all’imbarcazione a tavole, a nuovi riti religiosi e d’inumazione (sepolture in urne, in tombe e lastre litiche), tale stile, ritrovato su oggetti rituali e di uso comune, è ancora oggi adottato dalla maggior parte delle popolazioni indonesiane </w:t>
      </w:r>
      <w:proofErr w:type="gram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di </w:t>
      </w:r>
      <w:proofErr w:type="gram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interesse etnologico (</w:t>
      </w:r>
      <w:proofErr w:type="spell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Batak</w:t>
      </w:r>
      <w:proofErr w:type="spell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di Sumatra, </w:t>
      </w:r>
      <w:r w:rsidRPr="00C21F5F"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tribù delle </w:t>
      </w:r>
      <w:hyperlink r:id="rId8" w:history="1">
        <w:r w:rsidRPr="00C21F5F"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 xml:space="preserve">isole </w:t>
        </w:r>
        <w:proofErr w:type="spellStart"/>
        <w:r w:rsidRPr="00C21F5F"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>Mentawai</w:t>
        </w:r>
        <w:proofErr w:type="spellEnd"/>
      </w:hyperlink>
      <w:r w:rsidRPr="00C21F5F"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, di </w:t>
      </w:r>
      <w:proofErr w:type="spellStart"/>
      <w:r w:rsidRPr="00C21F5F">
        <w:rPr>
          <w:rFonts w:cs="Times New Roman"/>
          <w:smallCaps w:val="0"/>
          <w:color w:val="auto"/>
          <w:sz w:val="28"/>
          <w:szCs w:val="28"/>
          <w:u w:val="none" w:color="0000FF"/>
        </w:rPr>
        <w:t>Borneo</w:t>
      </w:r>
      <w:proofErr w:type="spellEnd"/>
      <w:r w:rsidRPr="00C21F5F"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centrale, Celebes, Molucche, Flores, </w:t>
      </w:r>
      <w:hyperlink r:id="rId9" w:history="1">
        <w:r w:rsidRPr="00C21F5F"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>Sumba</w:t>
        </w:r>
      </w:hyperlink>
      <w:r w:rsidRPr="00C21F5F"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, </w:t>
      </w:r>
      <w:proofErr w:type="spellStart"/>
      <w:r w:rsidRPr="00C21F5F">
        <w:rPr>
          <w:rFonts w:cs="Times New Roman"/>
          <w:smallCaps w:val="0"/>
          <w:color w:val="auto"/>
          <w:sz w:val="28"/>
          <w:szCs w:val="28"/>
          <w:u w:val="none" w:color="0000FF"/>
        </w:rPr>
        <w:t>Tanibar</w:t>
      </w:r>
      <w:proofErr w:type="spellEnd"/>
      <w:r w:rsidRPr="00C21F5F"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, </w:t>
      </w:r>
      <w:hyperlink r:id="rId10" w:history="1">
        <w:proofErr w:type="spellStart"/>
        <w:r w:rsidRPr="00C21F5F"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>Mindanao</w:t>
        </w:r>
        <w:proofErr w:type="spellEnd"/>
      </w:hyperlink>
      <w:r w:rsidRPr="00C21F5F">
        <w:rPr>
          <w:rFonts w:cs="Times New Roman"/>
          <w:smallCaps w:val="0"/>
          <w:color w:val="auto"/>
          <w:sz w:val="28"/>
          <w:szCs w:val="28"/>
          <w:u w:val="none" w:color="0000FF"/>
        </w:rPr>
        <w:t>).</w:t>
      </w:r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</w:t>
      </w: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color w:val="auto"/>
          <w:sz w:val="28"/>
          <w:szCs w:val="28"/>
          <w:u w:val="none" w:color="0000FF"/>
        </w:rPr>
      </w:pPr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La denominazione geografica si riferisce all’insieme di circa 14.000 isole poste a SE </w:t>
      </w:r>
      <w:proofErr w:type="gram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della</w:t>
      </w:r>
      <w:proofErr w:type="gram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</w:t>
      </w:r>
      <w:proofErr w:type="gram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massa</w:t>
      </w:r>
      <w:proofErr w:type="gram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continentale asiatica dal Golfo del Bengala al </w:t>
      </w:r>
      <w:hyperlink r:id="rId11" w:history="1">
        <w:r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>Mar degli Arafura</w:t>
        </w:r>
      </w:hyperlink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, tra l’Oceano Indiano, il </w:t>
      </w:r>
      <w:hyperlink r:id="rId12" w:history="1">
        <w:r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>Mar Cinese Meridionale</w:t>
        </w:r>
      </w:hyperlink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e l’Oceano Pacifico, che formano il più esteso arcipelago del mondo. La Repubblica Indonesiana include le Grandi </w:t>
      </w:r>
      <w:hyperlink r:id="rId13" w:history="1">
        <w:r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>Isole della Sonda</w:t>
        </w:r>
      </w:hyperlink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(</w:t>
      </w:r>
      <w:hyperlink r:id="rId14" w:history="1">
        <w:r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>Sumatra</w:t>
        </w:r>
      </w:hyperlink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, Giava, </w:t>
      </w:r>
      <w:hyperlink r:id="rId15" w:history="1">
        <w:r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>Celebes</w:t>
        </w:r>
      </w:hyperlink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e </w:t>
      </w:r>
      <w:hyperlink r:id="rId16" w:history="1">
        <w:proofErr w:type="spellStart"/>
        <w:r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>Borneo</w:t>
        </w:r>
        <w:proofErr w:type="spellEnd"/>
      </w:hyperlink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), le Piccole Isole della Sonda (Bali, </w:t>
      </w:r>
      <w:hyperlink r:id="rId17" w:history="1">
        <w:r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>Flores</w:t>
        </w:r>
      </w:hyperlink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Sumba ecc.) e le Molucche, </w:t>
      </w:r>
      <w:proofErr w:type="gram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nonché</w:t>
      </w:r>
      <w:proofErr w:type="gram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, dal 1963, il settore occidentale della </w:t>
      </w:r>
      <w:hyperlink r:id="rId18" w:history="1">
        <w:r>
          <w:rPr>
            <w:rFonts w:cs="Times New Roman"/>
            <w:smallCaps w:val="0"/>
            <w:color w:val="auto"/>
            <w:sz w:val="28"/>
            <w:szCs w:val="28"/>
            <w:u w:val="none" w:color="0000FF"/>
          </w:rPr>
          <w:t>Nuova Guinea</w:t>
        </w:r>
      </w:hyperlink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(dal 1973 denominato </w:t>
      </w:r>
      <w:proofErr w:type="spellStart"/>
      <w:r>
        <w:rPr>
          <w:rFonts w:cs="Times New Roman"/>
          <w:i/>
          <w:iCs/>
          <w:smallCaps w:val="0"/>
          <w:color w:val="auto"/>
          <w:sz w:val="28"/>
          <w:szCs w:val="28"/>
          <w:u w:val="none" w:color="0000FF"/>
        </w:rPr>
        <w:t>Irian</w:t>
      </w:r>
      <w:proofErr w:type="spellEnd"/>
      <w:r>
        <w:rPr>
          <w:rFonts w:cs="Times New Roman"/>
          <w:i/>
          <w:iCs/>
          <w:smallCaps w:val="0"/>
          <w:color w:val="auto"/>
          <w:sz w:val="28"/>
          <w:szCs w:val="28"/>
          <w:u w:val="none" w:color="0000FF"/>
        </w:rPr>
        <w:t xml:space="preserve"> </w:t>
      </w:r>
      <w:proofErr w:type="spellStart"/>
      <w:r>
        <w:rPr>
          <w:rFonts w:cs="Times New Roman"/>
          <w:i/>
          <w:iCs/>
          <w:smallCaps w:val="0"/>
          <w:color w:val="auto"/>
          <w:sz w:val="28"/>
          <w:szCs w:val="28"/>
          <w:u w:val="none" w:color="0000FF"/>
        </w:rPr>
        <w:t>Jaya</w:t>
      </w:r>
      <w:proofErr w:type="spell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e dal 2002 </w:t>
      </w:r>
      <w:r>
        <w:rPr>
          <w:rFonts w:cs="Times New Roman"/>
          <w:i/>
          <w:iCs/>
          <w:smallCaps w:val="0"/>
          <w:color w:val="auto"/>
          <w:sz w:val="28"/>
          <w:szCs w:val="28"/>
          <w:u w:val="none" w:color="0000FF"/>
        </w:rPr>
        <w:t>Papua</w:t>
      </w:r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), che dal punto di vista fisico non appartiene all’arcipelago. </w:t>
      </w: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color w:val="auto"/>
          <w:sz w:val="28"/>
          <w:szCs w:val="28"/>
          <w:u w:val="none" w:color="0000FF"/>
        </w:rPr>
      </w:pPr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Paese rurale, Sumba è disseminata di villaggi, denominati per </w:t>
      </w:r>
      <w:proofErr w:type="gram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lo</w:t>
      </w:r>
      <w:proofErr w:type="gram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più </w:t>
      </w:r>
      <w:proofErr w:type="spellStart"/>
      <w:r>
        <w:rPr>
          <w:rFonts w:cs="Times New Roman"/>
          <w:i/>
          <w:iCs/>
          <w:smallCaps w:val="0"/>
          <w:color w:val="auto"/>
          <w:sz w:val="28"/>
          <w:szCs w:val="28"/>
          <w:u w:val="none" w:color="0000FF"/>
        </w:rPr>
        <w:t>kampong</w:t>
      </w:r>
      <w:proofErr w:type="spell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(con lo stesso nome si indicano anche gli insediamenti informali delle periferie urbane); tanto pescherecci quanto agricoli, e comunque generalmente collocati lungo la costa o sulle rive di fiumi, i </w:t>
      </w:r>
      <w:proofErr w:type="spellStart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>kampong</w:t>
      </w:r>
      <w:proofErr w:type="spellEnd"/>
      <w:r>
        <w:rPr>
          <w:rFonts w:cs="Times New Roman"/>
          <w:smallCaps w:val="0"/>
          <w:color w:val="auto"/>
          <w:sz w:val="28"/>
          <w:szCs w:val="28"/>
          <w:u w:val="none" w:color="0000FF"/>
        </w:rPr>
        <w:t xml:space="preserve"> costituiscono forme insediative elementari e spontanee di comunità, sostanzialmente autarchiche, anche quando si susseguono vicinissimi gli uni agli altri, come nelle aree più fertili. </w:t>
      </w: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color w:val="auto"/>
          <w:sz w:val="28"/>
          <w:szCs w:val="28"/>
          <w:u w:val="none" w:color="0000FF"/>
        </w:rPr>
      </w:pPr>
    </w:p>
    <w:p w:rsidR="00210DF5" w:rsidRDefault="00210DF5" w:rsidP="00210DF5">
      <w:pPr>
        <w:widowControl w:val="0"/>
        <w:autoSpaceDE w:val="0"/>
        <w:autoSpaceDN w:val="0"/>
        <w:adjustRightInd w:val="0"/>
        <w:spacing w:before="2" w:after="2"/>
        <w:ind w:right="-1332"/>
        <w:rPr>
          <w:rFonts w:cs="Times New Roman"/>
          <w:smallCaps w:val="0"/>
          <w:color w:val="auto"/>
          <w:sz w:val="28"/>
          <w:szCs w:val="28"/>
          <w:u w:val="none" w:color="0000FF"/>
        </w:rPr>
      </w:pPr>
    </w:p>
    <w:p w:rsidR="001209A0" w:rsidRDefault="00245145"/>
    <w:sectPr w:rsidR="001209A0" w:rsidSect="00210DF5">
      <w:pgSz w:w="11900" w:h="16840"/>
      <w:pgMar w:top="1417" w:right="1552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10DF5"/>
    <w:rsid w:val="00210DF5"/>
    <w:rsid w:val="00245145"/>
    <w:rsid w:val="00C21F5F"/>
    <w:rsid w:val="00CB165A"/>
    <w:rsid w:val="00EE571D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D16"/>
    <w:rPr>
      <w:rFonts w:ascii="Times New Roman" w:hAnsi="Times New Roman"/>
      <w:smallCaps/>
      <w:color w:val="0000FF"/>
      <w:sz w:val="32"/>
      <w:szCs w:val="24"/>
      <w:u w:val="single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eccani.it/enciclopedia/sumba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treccani.it/enciclopedia/mindanao/" TargetMode="External"/><Relationship Id="rId11" Type="http://schemas.openxmlformats.org/officeDocument/2006/relationships/hyperlink" Target="http://www.treccani.it/enciclopedia/mar-degli-arafura/" TargetMode="External"/><Relationship Id="rId12" Type="http://schemas.openxmlformats.org/officeDocument/2006/relationships/hyperlink" Target="http://www.treccani.it/enciclopedia/mar-cinese-meridionale/" TargetMode="External"/><Relationship Id="rId13" Type="http://schemas.openxmlformats.org/officeDocument/2006/relationships/hyperlink" Target="http://www.treccani.it/enciclopedia/isole-della-sonda/" TargetMode="External"/><Relationship Id="rId14" Type="http://schemas.openxmlformats.org/officeDocument/2006/relationships/hyperlink" Target="http://www.treccani.it/enciclopedia/sumatra/" TargetMode="External"/><Relationship Id="rId15" Type="http://schemas.openxmlformats.org/officeDocument/2006/relationships/hyperlink" Target="http://www.treccani.it/enciclopedia/celebes/" TargetMode="External"/><Relationship Id="rId16" Type="http://schemas.openxmlformats.org/officeDocument/2006/relationships/hyperlink" Target="http://www.treccani.it/enciclopedia/borneo/" TargetMode="External"/><Relationship Id="rId17" Type="http://schemas.openxmlformats.org/officeDocument/2006/relationships/hyperlink" Target="http://www.treccani.it/enciclopedia/flores/" TargetMode="External"/><Relationship Id="rId18" Type="http://schemas.openxmlformats.org/officeDocument/2006/relationships/hyperlink" Target="http://www.treccani.it/enciclopedia/nuova-guinea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it.wikipedia.org/wiki/Isola" TargetMode="External"/><Relationship Id="rId5" Type="http://schemas.openxmlformats.org/officeDocument/2006/relationships/hyperlink" Target="https://it.wikipedia.org/wiki/Indonesia" TargetMode="External"/><Relationship Id="rId6" Type="http://schemas.openxmlformats.org/officeDocument/2006/relationships/hyperlink" Target="http://images.treccani.it/enc/media/share/images/orig//system/galleries/Carte_Geopolitico/Tab_Geopolitico/VOL_2/Indonesia_dati_geo_amm_TAB.jpg" TargetMode="External"/><Relationship Id="rId7" Type="http://schemas.openxmlformats.org/officeDocument/2006/relationships/hyperlink" Target="http://www.treccani.it/enciclopedia/il-mondo/" TargetMode="External"/><Relationship Id="rId8" Type="http://schemas.openxmlformats.org/officeDocument/2006/relationships/hyperlink" Target="%22http://www.treccani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3408</Characters>
  <Application>Microsoft Macintosh Word</Application>
  <DocSecurity>0</DocSecurity>
  <Lines>28</Lines>
  <Paragraphs>6</Paragraphs>
  <ScaleCrop>false</ScaleCrop>
  <Company>Prima Fashion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cp:lastModifiedBy>PIO</cp:lastModifiedBy>
  <cp:revision>3</cp:revision>
  <dcterms:created xsi:type="dcterms:W3CDTF">2016-01-23T12:46:00Z</dcterms:created>
  <dcterms:modified xsi:type="dcterms:W3CDTF">2016-02-11T15:15:00Z</dcterms:modified>
</cp:coreProperties>
</file>